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8F7" w:rsidRDefault="00F658F7" w:rsidP="00F658F7">
      <w:pPr>
        <w:autoSpaceDE w:val="0"/>
        <w:autoSpaceDN w:val="0"/>
        <w:adjustRightInd w:val="0"/>
      </w:pPr>
    </w:p>
    <w:tbl>
      <w:tblPr>
        <w:tblW w:w="0" w:type="auto"/>
        <w:tblInd w:w="108" w:type="dxa"/>
        <w:tblLayout w:type="fixed"/>
        <w:tblLook w:val="04A0" w:firstRow="1" w:lastRow="0" w:firstColumn="1" w:lastColumn="0" w:noHBand="0" w:noVBand="1"/>
      </w:tblPr>
      <w:tblGrid>
        <w:gridCol w:w="9639"/>
      </w:tblGrid>
      <w:tr w:rsidR="00F658F7" w:rsidRPr="00AB60E7" w:rsidTr="005D6C87">
        <w:tc>
          <w:tcPr>
            <w:tcW w:w="9639" w:type="dxa"/>
            <w:hideMark/>
          </w:tcPr>
          <w:p w:rsidR="00F658F7" w:rsidRPr="00843A17" w:rsidRDefault="00F658F7" w:rsidP="005D6C87">
            <w:pPr>
              <w:pStyle w:val="Betarp"/>
              <w:spacing w:line="276" w:lineRule="auto"/>
              <w:jc w:val="center"/>
              <w:rPr>
                <w:rFonts w:ascii="Times New Roman" w:hAnsi="Times New Roman"/>
                <w:b/>
                <w:sz w:val="24"/>
                <w:szCs w:val="24"/>
              </w:rPr>
            </w:pPr>
            <w:r w:rsidRPr="00843A17">
              <w:rPr>
                <w:rFonts w:ascii="Times New Roman" w:hAnsi="Times New Roman"/>
                <w:b/>
                <w:sz w:val="24"/>
                <w:szCs w:val="24"/>
              </w:rPr>
              <w:t>ALYTAUS MIESTO SAVIVALDYBĖS VISUOMENĖS SVEIKATOS BIURAS</w:t>
            </w:r>
          </w:p>
        </w:tc>
      </w:tr>
      <w:tr w:rsidR="00F658F7" w:rsidRPr="00AB60E7" w:rsidTr="005D6C87">
        <w:tc>
          <w:tcPr>
            <w:tcW w:w="9639" w:type="dxa"/>
          </w:tcPr>
          <w:p w:rsidR="00F658F7" w:rsidRPr="00843A17" w:rsidRDefault="00F658F7" w:rsidP="005D6C87">
            <w:pPr>
              <w:pStyle w:val="Betarp"/>
              <w:spacing w:line="276" w:lineRule="auto"/>
              <w:jc w:val="center"/>
              <w:rPr>
                <w:rFonts w:ascii="Times New Roman" w:hAnsi="Times New Roman"/>
                <w:b/>
                <w:sz w:val="24"/>
                <w:szCs w:val="24"/>
              </w:rPr>
            </w:pPr>
          </w:p>
        </w:tc>
      </w:tr>
      <w:tr w:rsidR="00F658F7" w:rsidRPr="00AB60E7" w:rsidTr="005D6C87">
        <w:tc>
          <w:tcPr>
            <w:tcW w:w="9639" w:type="dxa"/>
            <w:tcBorders>
              <w:top w:val="nil"/>
              <w:left w:val="nil"/>
              <w:bottom w:val="single" w:sz="6" w:space="0" w:color="auto"/>
              <w:right w:val="nil"/>
            </w:tcBorders>
            <w:hideMark/>
          </w:tcPr>
          <w:p w:rsidR="00F658F7" w:rsidRPr="00F658F7" w:rsidRDefault="00F658F7" w:rsidP="005D6C87">
            <w:pPr>
              <w:pStyle w:val="Betarp"/>
              <w:spacing w:line="276" w:lineRule="auto"/>
              <w:jc w:val="center"/>
              <w:rPr>
                <w:rFonts w:ascii="Times New Roman" w:hAnsi="Times New Roman"/>
                <w:sz w:val="20"/>
                <w:szCs w:val="20"/>
                <w:lang w:val="nb-NO"/>
              </w:rPr>
            </w:pPr>
            <w:r>
              <w:rPr>
                <w:rFonts w:ascii="Times New Roman" w:hAnsi="Times New Roman"/>
                <w:sz w:val="20"/>
                <w:szCs w:val="20"/>
              </w:rPr>
              <w:t>B</w:t>
            </w:r>
            <w:r w:rsidRPr="00AB60E7">
              <w:rPr>
                <w:rFonts w:ascii="Times New Roman" w:hAnsi="Times New Roman"/>
                <w:sz w:val="20"/>
                <w:szCs w:val="20"/>
              </w:rPr>
              <w:t>iudžeti</w:t>
            </w:r>
            <w:r>
              <w:rPr>
                <w:rFonts w:ascii="Times New Roman" w:hAnsi="Times New Roman"/>
                <w:sz w:val="20"/>
                <w:szCs w:val="20"/>
              </w:rPr>
              <w:t>nė įstaiga, Daugų g. 5 A, LT-62169</w:t>
            </w:r>
            <w:r w:rsidRPr="00973CD3">
              <w:rPr>
                <w:rFonts w:ascii="Times New Roman" w:hAnsi="Times New Roman"/>
                <w:sz w:val="20"/>
                <w:szCs w:val="20"/>
              </w:rPr>
              <w:t xml:space="preserve"> Alytus</w:t>
            </w:r>
            <w:r>
              <w:rPr>
                <w:rFonts w:ascii="Times New Roman" w:hAnsi="Times New Roman"/>
                <w:sz w:val="20"/>
                <w:szCs w:val="20"/>
              </w:rPr>
              <w:t>, tel. /</w:t>
            </w:r>
            <w:r w:rsidRPr="00AB60E7">
              <w:rPr>
                <w:rFonts w:ascii="Times New Roman" w:hAnsi="Times New Roman"/>
                <w:sz w:val="20"/>
                <w:szCs w:val="20"/>
              </w:rPr>
              <w:t>faks. (</w:t>
            </w:r>
            <w:r w:rsidRPr="00F658F7">
              <w:rPr>
                <w:rFonts w:ascii="Times New Roman" w:hAnsi="Times New Roman"/>
                <w:sz w:val="20"/>
                <w:szCs w:val="20"/>
                <w:lang w:val="nb-NO"/>
              </w:rPr>
              <w:t>8 315) 51 653</w:t>
            </w:r>
          </w:p>
          <w:p w:rsidR="00F658F7" w:rsidRPr="00AB60E7" w:rsidRDefault="00F658F7" w:rsidP="005D6C87">
            <w:pPr>
              <w:pStyle w:val="Betarp"/>
              <w:spacing w:line="276" w:lineRule="auto"/>
              <w:jc w:val="center"/>
              <w:rPr>
                <w:rFonts w:ascii="Times New Roman" w:hAnsi="Times New Roman"/>
                <w:sz w:val="20"/>
                <w:szCs w:val="20"/>
              </w:rPr>
            </w:pPr>
            <w:r w:rsidRPr="00AB60E7">
              <w:rPr>
                <w:rFonts w:ascii="Times New Roman" w:hAnsi="Times New Roman"/>
                <w:sz w:val="20"/>
                <w:szCs w:val="20"/>
              </w:rPr>
              <w:t xml:space="preserve">el. p. </w:t>
            </w:r>
            <w:proofErr w:type="spellStart"/>
            <w:r w:rsidRPr="00AB60E7">
              <w:rPr>
                <w:rFonts w:ascii="Times New Roman" w:hAnsi="Times New Roman"/>
                <w:sz w:val="20"/>
                <w:szCs w:val="20"/>
              </w:rPr>
              <w:t>amsbiuras</w:t>
            </w:r>
            <w:proofErr w:type="spellEnd"/>
            <w:r w:rsidRPr="00F658F7">
              <w:rPr>
                <w:rFonts w:ascii="Times New Roman" w:hAnsi="Times New Roman"/>
                <w:sz w:val="20"/>
                <w:szCs w:val="20"/>
                <w:lang w:val="nb-NO"/>
              </w:rPr>
              <w:t>@zebra</w:t>
            </w:r>
            <w:r w:rsidRPr="00AB60E7">
              <w:rPr>
                <w:rFonts w:ascii="Times New Roman" w:hAnsi="Times New Roman"/>
                <w:sz w:val="20"/>
                <w:szCs w:val="20"/>
              </w:rPr>
              <w:t>.lt.</w:t>
            </w:r>
          </w:p>
          <w:p w:rsidR="00F658F7" w:rsidRPr="00AB60E7" w:rsidRDefault="00F658F7" w:rsidP="005D6C87">
            <w:pPr>
              <w:pStyle w:val="Betarp"/>
              <w:spacing w:line="276" w:lineRule="auto"/>
              <w:jc w:val="center"/>
              <w:rPr>
                <w:rFonts w:ascii="Times New Roman" w:hAnsi="Times New Roman"/>
                <w:sz w:val="20"/>
                <w:szCs w:val="20"/>
              </w:rPr>
            </w:pPr>
            <w:r w:rsidRPr="00AB60E7">
              <w:rPr>
                <w:rFonts w:ascii="Times New Roman" w:hAnsi="Times New Roman"/>
                <w:sz w:val="20"/>
                <w:szCs w:val="20"/>
              </w:rPr>
              <w:t>Duomenys kaupiami ir saugomi Juridinių asmenų registre, kodas 301768543</w:t>
            </w:r>
          </w:p>
        </w:tc>
      </w:tr>
    </w:tbl>
    <w:p w:rsidR="00F658F7" w:rsidRDefault="00F658F7" w:rsidP="00F658F7">
      <w:pPr>
        <w:autoSpaceDE w:val="0"/>
        <w:autoSpaceDN w:val="0"/>
        <w:adjustRightInd w:val="0"/>
      </w:pPr>
    </w:p>
    <w:p w:rsidR="00F658F7" w:rsidRDefault="00F658F7" w:rsidP="00F658F7">
      <w:pPr>
        <w:autoSpaceDE w:val="0"/>
        <w:autoSpaceDN w:val="0"/>
        <w:adjustRightInd w:val="0"/>
      </w:pPr>
    </w:p>
    <w:p w:rsidR="00F658F7" w:rsidRDefault="00F658F7" w:rsidP="00F658F7">
      <w:pPr>
        <w:autoSpaceDE w:val="0"/>
        <w:autoSpaceDN w:val="0"/>
        <w:adjustRightInd w:val="0"/>
      </w:pPr>
    </w:p>
    <w:p w:rsidR="00F658F7" w:rsidRDefault="00F658F7" w:rsidP="00F658F7">
      <w:pPr>
        <w:autoSpaceDE w:val="0"/>
        <w:autoSpaceDN w:val="0"/>
        <w:adjustRightInd w:val="0"/>
      </w:pPr>
    </w:p>
    <w:p w:rsidR="00F658F7" w:rsidRDefault="00F658F7" w:rsidP="00F658F7">
      <w:pPr>
        <w:autoSpaceDE w:val="0"/>
        <w:autoSpaceDN w:val="0"/>
        <w:adjustRightInd w:val="0"/>
      </w:pPr>
    </w:p>
    <w:p w:rsidR="00F658F7" w:rsidRDefault="00F658F7" w:rsidP="00F658F7">
      <w:pPr>
        <w:autoSpaceDE w:val="0"/>
        <w:autoSpaceDN w:val="0"/>
        <w:adjustRightInd w:val="0"/>
      </w:pPr>
    </w:p>
    <w:p w:rsidR="00F658F7" w:rsidRDefault="00F658F7" w:rsidP="00F658F7">
      <w:pPr>
        <w:autoSpaceDE w:val="0"/>
        <w:autoSpaceDN w:val="0"/>
        <w:adjustRightInd w:val="0"/>
      </w:pPr>
    </w:p>
    <w:p w:rsidR="00F658F7" w:rsidRDefault="00F658F7" w:rsidP="00F658F7">
      <w:pPr>
        <w:autoSpaceDE w:val="0"/>
        <w:autoSpaceDN w:val="0"/>
        <w:adjustRightInd w:val="0"/>
      </w:pPr>
    </w:p>
    <w:p w:rsidR="00F658F7" w:rsidRDefault="00F658F7" w:rsidP="00F658F7">
      <w:pPr>
        <w:autoSpaceDE w:val="0"/>
        <w:autoSpaceDN w:val="0"/>
        <w:adjustRightInd w:val="0"/>
      </w:pPr>
    </w:p>
    <w:p w:rsidR="00F658F7" w:rsidRDefault="00F658F7" w:rsidP="00F658F7">
      <w:pPr>
        <w:autoSpaceDE w:val="0"/>
        <w:autoSpaceDN w:val="0"/>
        <w:adjustRightInd w:val="0"/>
      </w:pPr>
    </w:p>
    <w:p w:rsidR="00F658F7" w:rsidRDefault="00F658F7" w:rsidP="00F658F7">
      <w:pPr>
        <w:autoSpaceDE w:val="0"/>
        <w:autoSpaceDN w:val="0"/>
        <w:adjustRightInd w:val="0"/>
      </w:pPr>
    </w:p>
    <w:p w:rsidR="00F658F7" w:rsidRDefault="00F658F7" w:rsidP="00F658F7">
      <w:pPr>
        <w:autoSpaceDE w:val="0"/>
        <w:autoSpaceDN w:val="0"/>
        <w:adjustRightInd w:val="0"/>
      </w:pPr>
    </w:p>
    <w:p w:rsidR="00F658F7" w:rsidRDefault="00F658F7" w:rsidP="00F658F7">
      <w:pPr>
        <w:autoSpaceDE w:val="0"/>
        <w:autoSpaceDN w:val="0"/>
        <w:adjustRightInd w:val="0"/>
      </w:pPr>
    </w:p>
    <w:p w:rsidR="00F658F7" w:rsidRDefault="00F658F7" w:rsidP="00F658F7">
      <w:pPr>
        <w:autoSpaceDE w:val="0"/>
        <w:autoSpaceDN w:val="0"/>
        <w:adjustRightInd w:val="0"/>
      </w:pPr>
    </w:p>
    <w:p w:rsidR="00F658F7" w:rsidRDefault="00F658F7" w:rsidP="00F658F7">
      <w:pPr>
        <w:autoSpaceDE w:val="0"/>
        <w:autoSpaceDN w:val="0"/>
        <w:adjustRightInd w:val="0"/>
      </w:pPr>
    </w:p>
    <w:p w:rsidR="00F658F7" w:rsidRDefault="00F658F7" w:rsidP="00F658F7">
      <w:pPr>
        <w:autoSpaceDE w:val="0"/>
        <w:autoSpaceDN w:val="0"/>
        <w:adjustRightInd w:val="0"/>
      </w:pPr>
    </w:p>
    <w:p w:rsidR="00F658F7" w:rsidRDefault="00F658F7" w:rsidP="00F658F7">
      <w:pPr>
        <w:autoSpaceDE w:val="0"/>
        <w:autoSpaceDN w:val="0"/>
        <w:adjustRightInd w:val="0"/>
      </w:pPr>
    </w:p>
    <w:p w:rsidR="00F658F7" w:rsidRDefault="00F658F7" w:rsidP="00F658F7">
      <w:pPr>
        <w:autoSpaceDE w:val="0"/>
        <w:autoSpaceDN w:val="0"/>
        <w:adjustRightInd w:val="0"/>
      </w:pPr>
    </w:p>
    <w:p w:rsidR="00F658F7" w:rsidRDefault="00F658F7" w:rsidP="00F658F7">
      <w:pPr>
        <w:autoSpaceDE w:val="0"/>
        <w:autoSpaceDN w:val="0"/>
        <w:adjustRightInd w:val="0"/>
      </w:pPr>
    </w:p>
    <w:p w:rsidR="00F658F7" w:rsidRDefault="00F658F7" w:rsidP="00F658F7">
      <w:pPr>
        <w:autoSpaceDE w:val="0"/>
        <w:autoSpaceDN w:val="0"/>
        <w:adjustRightInd w:val="0"/>
      </w:pPr>
    </w:p>
    <w:p w:rsidR="00F658F7" w:rsidRDefault="00F658F7" w:rsidP="00F658F7">
      <w:pPr>
        <w:autoSpaceDE w:val="0"/>
        <w:autoSpaceDN w:val="0"/>
        <w:adjustRightInd w:val="0"/>
        <w:jc w:val="center"/>
        <w:rPr>
          <w:b/>
          <w:sz w:val="32"/>
          <w:szCs w:val="32"/>
        </w:rPr>
      </w:pPr>
      <w:r>
        <w:rPr>
          <w:b/>
          <w:sz w:val="32"/>
          <w:szCs w:val="32"/>
        </w:rPr>
        <w:t>Kuprinių svėrimo akcijos 2015</w:t>
      </w:r>
      <w:r w:rsidRPr="00F96EB1">
        <w:rPr>
          <w:b/>
          <w:sz w:val="32"/>
          <w:szCs w:val="32"/>
        </w:rPr>
        <w:t xml:space="preserve"> m. rezultatai</w:t>
      </w:r>
    </w:p>
    <w:p w:rsidR="00F658F7" w:rsidRDefault="00F658F7" w:rsidP="00F658F7">
      <w:pPr>
        <w:autoSpaceDE w:val="0"/>
        <w:autoSpaceDN w:val="0"/>
        <w:adjustRightInd w:val="0"/>
        <w:jc w:val="center"/>
        <w:rPr>
          <w:b/>
          <w:sz w:val="32"/>
          <w:szCs w:val="32"/>
        </w:rPr>
      </w:pPr>
    </w:p>
    <w:p w:rsidR="00F658F7" w:rsidRDefault="00F658F7" w:rsidP="00F658F7">
      <w:pPr>
        <w:autoSpaceDE w:val="0"/>
        <w:autoSpaceDN w:val="0"/>
        <w:adjustRightInd w:val="0"/>
        <w:jc w:val="center"/>
        <w:rPr>
          <w:b/>
          <w:sz w:val="32"/>
          <w:szCs w:val="32"/>
        </w:rPr>
      </w:pPr>
    </w:p>
    <w:p w:rsidR="00F658F7" w:rsidRDefault="00F658F7" w:rsidP="00F658F7">
      <w:pPr>
        <w:autoSpaceDE w:val="0"/>
        <w:autoSpaceDN w:val="0"/>
        <w:adjustRightInd w:val="0"/>
        <w:jc w:val="center"/>
        <w:rPr>
          <w:b/>
          <w:sz w:val="32"/>
          <w:szCs w:val="32"/>
        </w:rPr>
      </w:pPr>
    </w:p>
    <w:p w:rsidR="00F658F7" w:rsidRDefault="00F658F7" w:rsidP="00F658F7">
      <w:pPr>
        <w:autoSpaceDE w:val="0"/>
        <w:autoSpaceDN w:val="0"/>
        <w:adjustRightInd w:val="0"/>
        <w:jc w:val="center"/>
        <w:rPr>
          <w:b/>
          <w:sz w:val="32"/>
          <w:szCs w:val="32"/>
        </w:rPr>
      </w:pPr>
    </w:p>
    <w:p w:rsidR="00F658F7" w:rsidRDefault="00F658F7" w:rsidP="00F658F7">
      <w:pPr>
        <w:autoSpaceDE w:val="0"/>
        <w:autoSpaceDN w:val="0"/>
        <w:adjustRightInd w:val="0"/>
        <w:spacing w:line="276" w:lineRule="auto"/>
        <w:jc w:val="center"/>
        <w:rPr>
          <w:b/>
          <w:sz w:val="32"/>
          <w:szCs w:val="32"/>
        </w:rPr>
      </w:pPr>
    </w:p>
    <w:p w:rsidR="00F658F7" w:rsidRDefault="00F658F7" w:rsidP="00F658F7">
      <w:pPr>
        <w:autoSpaceDE w:val="0"/>
        <w:autoSpaceDN w:val="0"/>
        <w:adjustRightInd w:val="0"/>
        <w:spacing w:line="276" w:lineRule="auto"/>
        <w:jc w:val="right"/>
      </w:pPr>
    </w:p>
    <w:p w:rsidR="00F658F7" w:rsidRDefault="00F658F7" w:rsidP="00F658F7">
      <w:pPr>
        <w:autoSpaceDE w:val="0"/>
        <w:autoSpaceDN w:val="0"/>
        <w:adjustRightInd w:val="0"/>
        <w:spacing w:line="276" w:lineRule="auto"/>
        <w:jc w:val="right"/>
      </w:pPr>
    </w:p>
    <w:p w:rsidR="00F658F7" w:rsidRPr="00D5414E" w:rsidRDefault="00F658F7" w:rsidP="00F658F7">
      <w:pPr>
        <w:autoSpaceDE w:val="0"/>
        <w:autoSpaceDN w:val="0"/>
        <w:adjustRightInd w:val="0"/>
        <w:spacing w:line="276" w:lineRule="auto"/>
        <w:jc w:val="right"/>
      </w:pPr>
    </w:p>
    <w:p w:rsidR="00F658F7" w:rsidRDefault="00F658F7" w:rsidP="00F658F7">
      <w:pPr>
        <w:autoSpaceDE w:val="0"/>
        <w:autoSpaceDN w:val="0"/>
        <w:adjustRightInd w:val="0"/>
        <w:jc w:val="center"/>
        <w:rPr>
          <w:b/>
          <w:sz w:val="32"/>
          <w:szCs w:val="32"/>
        </w:rPr>
      </w:pPr>
    </w:p>
    <w:p w:rsidR="00F658F7" w:rsidRDefault="00F658F7" w:rsidP="00F658F7">
      <w:pPr>
        <w:autoSpaceDE w:val="0"/>
        <w:autoSpaceDN w:val="0"/>
        <w:adjustRightInd w:val="0"/>
        <w:jc w:val="center"/>
        <w:rPr>
          <w:b/>
          <w:sz w:val="32"/>
          <w:szCs w:val="32"/>
        </w:rPr>
      </w:pPr>
    </w:p>
    <w:p w:rsidR="00F658F7" w:rsidRDefault="00F658F7" w:rsidP="00F658F7">
      <w:pPr>
        <w:autoSpaceDE w:val="0"/>
        <w:autoSpaceDN w:val="0"/>
        <w:adjustRightInd w:val="0"/>
        <w:jc w:val="center"/>
        <w:rPr>
          <w:b/>
          <w:sz w:val="32"/>
          <w:szCs w:val="32"/>
        </w:rPr>
      </w:pPr>
    </w:p>
    <w:p w:rsidR="00F658F7" w:rsidRDefault="00F658F7" w:rsidP="00F658F7">
      <w:pPr>
        <w:autoSpaceDE w:val="0"/>
        <w:autoSpaceDN w:val="0"/>
        <w:adjustRightInd w:val="0"/>
        <w:jc w:val="center"/>
        <w:rPr>
          <w:b/>
          <w:sz w:val="32"/>
          <w:szCs w:val="32"/>
        </w:rPr>
      </w:pPr>
    </w:p>
    <w:p w:rsidR="00F658F7" w:rsidRDefault="00F658F7" w:rsidP="00F658F7">
      <w:pPr>
        <w:autoSpaceDE w:val="0"/>
        <w:autoSpaceDN w:val="0"/>
        <w:adjustRightInd w:val="0"/>
        <w:jc w:val="center"/>
        <w:rPr>
          <w:b/>
          <w:sz w:val="32"/>
          <w:szCs w:val="32"/>
        </w:rPr>
      </w:pPr>
    </w:p>
    <w:p w:rsidR="00F658F7" w:rsidRDefault="00F658F7" w:rsidP="00F658F7">
      <w:pPr>
        <w:autoSpaceDE w:val="0"/>
        <w:autoSpaceDN w:val="0"/>
        <w:adjustRightInd w:val="0"/>
        <w:jc w:val="center"/>
        <w:rPr>
          <w:b/>
          <w:sz w:val="32"/>
          <w:szCs w:val="32"/>
        </w:rPr>
      </w:pPr>
    </w:p>
    <w:p w:rsidR="00F658F7" w:rsidRDefault="00F658F7" w:rsidP="00F658F7">
      <w:pPr>
        <w:autoSpaceDE w:val="0"/>
        <w:autoSpaceDN w:val="0"/>
        <w:adjustRightInd w:val="0"/>
        <w:jc w:val="center"/>
        <w:rPr>
          <w:b/>
          <w:sz w:val="32"/>
          <w:szCs w:val="32"/>
        </w:rPr>
      </w:pPr>
    </w:p>
    <w:p w:rsidR="00F658F7" w:rsidRDefault="00F658F7" w:rsidP="00F658F7">
      <w:pPr>
        <w:autoSpaceDE w:val="0"/>
        <w:autoSpaceDN w:val="0"/>
        <w:adjustRightInd w:val="0"/>
        <w:jc w:val="center"/>
      </w:pPr>
    </w:p>
    <w:p w:rsidR="00F658F7" w:rsidRDefault="00F658F7" w:rsidP="00F658F7">
      <w:pPr>
        <w:autoSpaceDE w:val="0"/>
        <w:autoSpaceDN w:val="0"/>
        <w:adjustRightInd w:val="0"/>
        <w:jc w:val="center"/>
      </w:pPr>
    </w:p>
    <w:p w:rsidR="00F658F7" w:rsidRDefault="00F658F7" w:rsidP="00F658F7">
      <w:pPr>
        <w:pStyle w:val="Default"/>
        <w:ind w:firstLine="720"/>
        <w:jc w:val="center"/>
      </w:pPr>
      <w:r>
        <w:t>Alytus, 2015</w:t>
      </w:r>
    </w:p>
    <w:p w:rsidR="00F658F7" w:rsidRDefault="00F658F7" w:rsidP="004119D7">
      <w:pPr>
        <w:pStyle w:val="Default"/>
        <w:jc w:val="center"/>
        <w:rPr>
          <w:b/>
        </w:rPr>
      </w:pPr>
      <w:r>
        <w:rPr>
          <w:b/>
        </w:rPr>
        <w:lastRenderedPageBreak/>
        <w:t>ĮVADAS</w:t>
      </w:r>
    </w:p>
    <w:p w:rsidR="00F658F7" w:rsidRPr="00E80352" w:rsidRDefault="00F658F7" w:rsidP="00F658F7">
      <w:pPr>
        <w:pStyle w:val="Default"/>
        <w:ind w:firstLine="720"/>
        <w:jc w:val="center"/>
        <w:rPr>
          <w:b/>
        </w:rPr>
      </w:pPr>
    </w:p>
    <w:p w:rsidR="00F658F7" w:rsidRDefault="00F658F7" w:rsidP="00F658F7">
      <w:pPr>
        <w:pStyle w:val="Default"/>
        <w:spacing w:line="276" w:lineRule="auto"/>
        <w:ind w:firstLine="720"/>
        <w:jc w:val="both"/>
      </w:pPr>
      <w:r w:rsidRPr="00F96EB1">
        <w:t>Kasmetiniai mokinių sveikatos profilaktinių patikrinimų</w:t>
      </w:r>
      <w:r>
        <w:t xml:space="preserve"> rodikliai rodo</w:t>
      </w:r>
      <w:r w:rsidRPr="00F96EB1">
        <w:t>, kad skeleto raumenų</w:t>
      </w:r>
      <w:r>
        <w:t xml:space="preserve"> sutrikimai </w:t>
      </w:r>
      <w:r w:rsidRPr="00F96EB1">
        <w:t xml:space="preserve">(netaisyklinga laikysena, </w:t>
      </w:r>
      <w:proofErr w:type="spellStart"/>
      <w:r w:rsidRPr="00F96EB1">
        <w:t>skoliozė</w:t>
      </w:r>
      <w:proofErr w:type="spellEnd"/>
      <w:r w:rsidRPr="00F96EB1">
        <w:t xml:space="preserve">) yra vieni iš dažniausiai diagnozuojamų mokinių sveikatos sutrikimų. Pastebėta, kad šių </w:t>
      </w:r>
      <w:r>
        <w:t xml:space="preserve">mokinių </w:t>
      </w:r>
      <w:r w:rsidRPr="00F96EB1">
        <w:t xml:space="preserve">sveikatos sutrikimų su amžiumi vis daugėja. </w:t>
      </w:r>
      <w:r>
        <w:t xml:space="preserve">Netaisyklingą laikyseną įprasta laikyti mokykline liga. Ji dažniausiai nustatoma 11–15 metų paaugliams. </w:t>
      </w:r>
      <w:r w:rsidRPr="00F96EB1">
        <w:t>Netaisyklingas kurpinės nešimas ir kuprinės svorio nekontroliavimas turi įtakos formuotis netaisyklingai laikysenai.</w:t>
      </w:r>
    </w:p>
    <w:p w:rsidR="00F658F7" w:rsidRPr="00F96EB1" w:rsidRDefault="00F658F7" w:rsidP="00F658F7">
      <w:pPr>
        <w:pStyle w:val="Default"/>
        <w:spacing w:line="276" w:lineRule="auto"/>
        <w:ind w:firstLine="720"/>
        <w:jc w:val="both"/>
      </w:pPr>
      <w:r>
        <w:t xml:space="preserve">Pagrindiniai tiesaus stuburo „priešai“ – netaisyklinga kūno padėtis, ilgas stovėjimas ar sėdėjimas persikreipus, neatitinkantys vaikų ūgio baldai gali neigiamai veikti skeleto vystymąsi, sukelti stuburo iškrypimus, suformuoti netaisyklingą laikyseną. Dažniausia netaisyklingos laikysenos priežastis yra silpnas </w:t>
      </w:r>
      <w:proofErr w:type="spellStart"/>
      <w:r>
        <w:t>raumenynas</w:t>
      </w:r>
      <w:proofErr w:type="spellEnd"/>
      <w:r>
        <w:t>, netaisyklinga asimetrinė poza, nepakankamas judėjimas, pervargimas.</w:t>
      </w:r>
    </w:p>
    <w:p w:rsidR="00F658F7" w:rsidRDefault="00F658F7" w:rsidP="00F658F7">
      <w:pPr>
        <w:autoSpaceDE w:val="0"/>
        <w:autoSpaceDN w:val="0"/>
        <w:adjustRightInd w:val="0"/>
        <w:spacing w:line="276" w:lineRule="auto"/>
        <w:ind w:firstLine="720"/>
        <w:jc w:val="both"/>
      </w:pPr>
      <w:r w:rsidRPr="00F96EB1">
        <w:t>Moksleiviui rekomenduoja nešti ne sunkesnę kaip 10 proc. savo svorio kuprinę, kuri turi</w:t>
      </w:r>
      <w:r>
        <w:t xml:space="preserve"> </w:t>
      </w:r>
      <w:r w:rsidRPr="00F96EB1">
        <w:t>būti su dviem diržais ir nešama taisyklingai užsidėjus ant pečių. Kasdieninis nešiojimas sunkesnės</w:t>
      </w:r>
      <w:r>
        <w:t xml:space="preserve"> </w:t>
      </w:r>
      <w:r w:rsidRPr="00F96EB1">
        <w:t>kaip 15 proc. savo svorio kuprinės gali būti traktuojamas kaip rizikos veiksnys, darantis įtaką</w:t>
      </w:r>
      <w:r>
        <w:t xml:space="preserve"> </w:t>
      </w:r>
      <w:r w:rsidRPr="00F96EB1">
        <w:t>moksleiv</w:t>
      </w:r>
      <w:r>
        <w:t xml:space="preserve">io nugaros skausmams ar kitiems </w:t>
      </w:r>
      <w:r w:rsidRPr="00F96EB1">
        <w:t>stuburo pakenkimams atsirasti.</w:t>
      </w:r>
    </w:p>
    <w:p w:rsidR="00F658F7" w:rsidRPr="000715DB" w:rsidRDefault="00F658F7" w:rsidP="00F658F7">
      <w:pPr>
        <w:pStyle w:val="Default"/>
        <w:spacing w:line="276" w:lineRule="auto"/>
        <w:ind w:firstLine="720"/>
        <w:jc w:val="both"/>
        <w:rPr>
          <w:color w:val="auto"/>
        </w:rPr>
      </w:pPr>
      <w:r w:rsidRPr="000715DB">
        <w:rPr>
          <w:color w:val="auto"/>
        </w:rPr>
        <w:t>Alytaus miesto savivaldybės visuomenės sveikatos biuro specialistai miesto bendrojo lavinimo mokyklose organizavo</w:t>
      </w:r>
      <w:r w:rsidR="00952645">
        <w:rPr>
          <w:color w:val="auto"/>
        </w:rPr>
        <w:t xml:space="preserve"> 2015 m.</w:t>
      </w:r>
      <w:r w:rsidRPr="000715DB">
        <w:rPr>
          <w:color w:val="auto"/>
        </w:rPr>
        <w:t xml:space="preserve"> kuprinių svėrimo akciją. Akcijos tikslas „Ar ne per sunki mokinio kuprinė“ buvo išsiaiškinti mokyklinės kuprinės svorį ir jos sąsają su kūno svoriu, kokį kuprinės tipą ir nešiojimą būdą renkasi mokiniai, sužinoti bendrą vadovėlių ir pratybų sąsiuvinių</w:t>
      </w:r>
      <w:r>
        <w:rPr>
          <w:color w:val="auto"/>
        </w:rPr>
        <w:t xml:space="preserve"> svorį, sužinoti mokinio nuomonę</w:t>
      </w:r>
      <w:r w:rsidRPr="000715DB">
        <w:rPr>
          <w:color w:val="auto"/>
        </w:rPr>
        <w:t xml:space="preserve"> dėl kuprinės svorio. </w:t>
      </w:r>
    </w:p>
    <w:p w:rsidR="00F658F7" w:rsidRDefault="00F658F7" w:rsidP="00F658F7">
      <w:pPr>
        <w:autoSpaceDE w:val="0"/>
        <w:autoSpaceDN w:val="0"/>
        <w:adjustRightInd w:val="0"/>
        <w:spacing w:line="276" w:lineRule="auto"/>
        <w:ind w:firstLine="720"/>
        <w:jc w:val="both"/>
      </w:pPr>
    </w:p>
    <w:p w:rsidR="004119D7" w:rsidRDefault="004119D7">
      <w:pPr>
        <w:spacing w:after="200" w:line="276" w:lineRule="auto"/>
      </w:pPr>
      <w:r>
        <w:br w:type="page"/>
      </w:r>
    </w:p>
    <w:p w:rsidR="004119D7" w:rsidRDefault="004119D7" w:rsidP="004119D7">
      <w:pPr>
        <w:autoSpaceDE w:val="0"/>
        <w:autoSpaceDN w:val="0"/>
        <w:adjustRightInd w:val="0"/>
        <w:spacing w:line="276" w:lineRule="auto"/>
        <w:jc w:val="center"/>
        <w:rPr>
          <w:b/>
        </w:rPr>
      </w:pPr>
      <w:r>
        <w:rPr>
          <w:b/>
        </w:rPr>
        <w:lastRenderedPageBreak/>
        <w:t>TYRIMO ANALIZĖ</w:t>
      </w:r>
    </w:p>
    <w:p w:rsidR="003D3ED6" w:rsidRDefault="003D3ED6" w:rsidP="003D3ED6">
      <w:pPr>
        <w:autoSpaceDE w:val="0"/>
        <w:autoSpaceDN w:val="0"/>
        <w:adjustRightInd w:val="0"/>
        <w:spacing w:line="276" w:lineRule="auto"/>
        <w:ind w:firstLine="720"/>
        <w:jc w:val="both"/>
      </w:pPr>
      <w:r w:rsidRPr="007307C5">
        <w:t xml:space="preserve">Akcijos metu „Ar ne per sunki mokinio kuprinė“ </w:t>
      </w:r>
      <w:r>
        <w:t>p</w:t>
      </w:r>
      <w:r w:rsidR="00182FCB">
        <w:t>asverta 1218 kuprinė, iš jų 637</w:t>
      </w:r>
      <w:r>
        <w:t xml:space="preserve"> (</w:t>
      </w:r>
      <w:r w:rsidR="00182FCB">
        <w:t>52,30</w:t>
      </w:r>
      <w:r>
        <w:t xml:space="preserve"> proc.) kuprinių svoris buvo mažesnis nei 10 proc. mokinio kūno svorio, sunkias, nuo 10 proc. iki 15 proc. mokinio </w:t>
      </w:r>
      <w:r w:rsidR="00182FCB">
        <w:t>kūno svorio, kuprines turėjo 479 (39,33 proc.) mokiniai, o 103 (8,46</w:t>
      </w:r>
      <w:r>
        <w:t xml:space="preserve"> proc.) mokinių kuprinės viršijo mokinio kūno svorį daugiau kaip 15 proc. Taip pat</w:t>
      </w:r>
      <w:r w:rsidR="00CF2A4F">
        <w:t xml:space="preserve"> nustatyta, kad didžiausia dalis </w:t>
      </w:r>
      <w:r>
        <w:t xml:space="preserve"> nešiojančių normalaus svorio kuprines bu</w:t>
      </w:r>
      <w:r w:rsidR="00182FCB">
        <w:t>vo tarp šeštų klasių mokinių</w:t>
      </w:r>
      <w:r w:rsidR="00CF2A4F">
        <w:t xml:space="preserve"> 182</w:t>
      </w:r>
      <w:r w:rsidR="00182FCB">
        <w:t xml:space="preserve"> (</w:t>
      </w:r>
      <w:r w:rsidR="00CF2A4F">
        <w:t>14,94</w:t>
      </w:r>
      <w:r>
        <w:t xml:space="preserve"> proc.) (1 pav.).</w:t>
      </w:r>
    </w:p>
    <w:p w:rsidR="002850FD" w:rsidRDefault="002850FD" w:rsidP="003D3ED6">
      <w:pPr>
        <w:autoSpaceDE w:val="0"/>
        <w:autoSpaceDN w:val="0"/>
        <w:adjustRightInd w:val="0"/>
        <w:spacing w:line="276" w:lineRule="auto"/>
        <w:ind w:firstLine="720"/>
        <w:jc w:val="both"/>
      </w:pPr>
    </w:p>
    <w:p w:rsidR="00847776" w:rsidRDefault="002850FD" w:rsidP="002850FD">
      <w:pPr>
        <w:autoSpaceDE w:val="0"/>
        <w:autoSpaceDN w:val="0"/>
        <w:adjustRightInd w:val="0"/>
        <w:spacing w:line="276" w:lineRule="auto"/>
        <w:jc w:val="center"/>
      </w:pPr>
      <w:r>
        <w:rPr>
          <w:noProof/>
          <w:lang w:eastAsia="lt-LT"/>
        </w:rPr>
        <w:drawing>
          <wp:inline distT="0" distB="0" distL="0" distR="0" wp14:anchorId="4A9EE8C4" wp14:editId="3EF58883">
            <wp:extent cx="4857750" cy="2833688"/>
            <wp:effectExtent l="0" t="0" r="19050" b="24130"/>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850FD" w:rsidRDefault="002850FD" w:rsidP="002850FD">
      <w:pPr>
        <w:autoSpaceDE w:val="0"/>
        <w:autoSpaceDN w:val="0"/>
        <w:adjustRightInd w:val="0"/>
        <w:jc w:val="center"/>
        <w:rPr>
          <w:b/>
        </w:rPr>
      </w:pPr>
      <w:r w:rsidRPr="007307C5">
        <w:rPr>
          <w:b/>
        </w:rPr>
        <w:t xml:space="preserve">1 pav. Bendras mokinių kuprinių svoris </w:t>
      </w:r>
      <w:r w:rsidR="001342B0">
        <w:rPr>
          <w:b/>
        </w:rPr>
        <w:t>2 klasė</w:t>
      </w:r>
      <w:r w:rsidRPr="007307C5">
        <w:rPr>
          <w:b/>
        </w:rPr>
        <w:t>s</w:t>
      </w:r>
      <w:r>
        <w:rPr>
          <w:b/>
        </w:rPr>
        <w:t xml:space="preserve"> (</w:t>
      </w:r>
      <w:proofErr w:type="spellStart"/>
      <w:r>
        <w:rPr>
          <w:b/>
        </w:rPr>
        <w:t>abs</w:t>
      </w:r>
      <w:proofErr w:type="spellEnd"/>
      <w:r>
        <w:rPr>
          <w:b/>
        </w:rPr>
        <w:t>. sk.</w:t>
      </w:r>
      <w:bookmarkStart w:id="0" w:name="_GoBack"/>
      <w:bookmarkEnd w:id="0"/>
      <w:r>
        <w:rPr>
          <w:b/>
        </w:rPr>
        <w:t>)</w:t>
      </w:r>
    </w:p>
    <w:p w:rsidR="00C8611E" w:rsidRDefault="00C8611E" w:rsidP="002850FD">
      <w:pPr>
        <w:autoSpaceDE w:val="0"/>
        <w:autoSpaceDN w:val="0"/>
        <w:adjustRightInd w:val="0"/>
        <w:jc w:val="center"/>
        <w:rPr>
          <w:b/>
        </w:rPr>
      </w:pPr>
    </w:p>
    <w:p w:rsidR="00C8611E" w:rsidRDefault="00C8611E" w:rsidP="00C8611E">
      <w:pPr>
        <w:autoSpaceDE w:val="0"/>
        <w:autoSpaceDN w:val="0"/>
        <w:adjustRightInd w:val="0"/>
        <w:spacing w:line="360" w:lineRule="auto"/>
        <w:ind w:firstLine="567"/>
        <w:jc w:val="both"/>
      </w:pPr>
      <w:r w:rsidRPr="00C8611E">
        <w:t>Kuprinių svėrimo akcijos metu buvo tikrinama kokio tipo kuprines nešioja mokiniai: ar turi atšvaitą. Tači</w:t>
      </w:r>
      <w:r w:rsidR="008E11F4">
        <w:t>au nustatyta, kad 69,7</w:t>
      </w:r>
      <w:r w:rsidRPr="00C8611E">
        <w:t xml:space="preserve"> proc. mokinių turi atšvaitus prisegtus ant kuprinių (2 pav.). Tikriausiai retas, kuris atšvaito neturi, nes mokyklose ir mieste vyksta akcijos, kurių metu yra dovanojami atšvaitai. Tačiau pagrindinė priežastis – atšvaitų nenešiojimas, nors atšvaitas tamsiu paros metu gali išgelbėti gyvybę.</w:t>
      </w:r>
    </w:p>
    <w:p w:rsidR="008E11F4" w:rsidRDefault="00B04EF2" w:rsidP="00B04EF2">
      <w:pPr>
        <w:autoSpaceDE w:val="0"/>
        <w:autoSpaceDN w:val="0"/>
        <w:adjustRightInd w:val="0"/>
        <w:spacing w:line="360" w:lineRule="auto"/>
        <w:jc w:val="center"/>
      </w:pPr>
      <w:r>
        <w:rPr>
          <w:noProof/>
          <w:lang w:eastAsia="lt-LT"/>
        </w:rPr>
        <w:drawing>
          <wp:inline distT="0" distB="0" distL="0" distR="0" wp14:anchorId="34B59CBA" wp14:editId="5C24A137">
            <wp:extent cx="3771900" cy="2314575"/>
            <wp:effectExtent l="0" t="0" r="19050" b="9525"/>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04EF2" w:rsidRPr="003078FD" w:rsidRDefault="00B04EF2" w:rsidP="00B04EF2">
      <w:pPr>
        <w:spacing w:line="276" w:lineRule="auto"/>
        <w:ind w:firstLine="720"/>
        <w:jc w:val="center"/>
        <w:rPr>
          <w:b/>
        </w:rPr>
      </w:pPr>
      <w:r>
        <w:rPr>
          <w:b/>
        </w:rPr>
        <w:t>2 pav. Mokiniai nešiojantys atšvaitus (</w:t>
      </w:r>
      <w:proofErr w:type="spellStart"/>
      <w:r>
        <w:rPr>
          <w:b/>
        </w:rPr>
        <w:t>abs.sk</w:t>
      </w:r>
      <w:proofErr w:type="spellEnd"/>
      <w:r>
        <w:rPr>
          <w:b/>
        </w:rPr>
        <w:t>.)</w:t>
      </w:r>
    </w:p>
    <w:p w:rsidR="00B04EF2" w:rsidRPr="00C8611E" w:rsidRDefault="00B04EF2" w:rsidP="00B04EF2">
      <w:pPr>
        <w:autoSpaceDE w:val="0"/>
        <w:autoSpaceDN w:val="0"/>
        <w:adjustRightInd w:val="0"/>
        <w:spacing w:line="360" w:lineRule="auto"/>
        <w:jc w:val="center"/>
      </w:pPr>
    </w:p>
    <w:p w:rsidR="004F70D8" w:rsidRDefault="004F70D8" w:rsidP="004F70D8">
      <w:pPr>
        <w:autoSpaceDE w:val="0"/>
        <w:autoSpaceDN w:val="0"/>
        <w:adjustRightInd w:val="0"/>
        <w:spacing w:line="276" w:lineRule="auto"/>
        <w:jc w:val="center"/>
        <w:rPr>
          <w:b/>
          <w:bCs/>
          <w:color w:val="000000"/>
        </w:rPr>
      </w:pPr>
      <w:r w:rsidRPr="003274F3">
        <w:rPr>
          <w:b/>
          <w:bCs/>
          <w:color w:val="000000"/>
        </w:rPr>
        <w:lastRenderedPageBreak/>
        <w:t>IŠVADOS</w:t>
      </w:r>
    </w:p>
    <w:p w:rsidR="004F70D8" w:rsidRPr="004F70D8" w:rsidRDefault="004F70D8" w:rsidP="00AE2371">
      <w:pPr>
        <w:pStyle w:val="Sraopastraipa"/>
        <w:numPr>
          <w:ilvl w:val="0"/>
          <w:numId w:val="1"/>
        </w:numPr>
        <w:autoSpaceDE w:val="0"/>
        <w:autoSpaceDN w:val="0"/>
        <w:adjustRightInd w:val="0"/>
        <w:spacing w:line="276" w:lineRule="auto"/>
        <w:ind w:left="567" w:hanging="283"/>
        <w:jc w:val="both"/>
        <w:rPr>
          <w:bCs/>
          <w:color w:val="000000"/>
        </w:rPr>
      </w:pPr>
      <w:r>
        <w:rPr>
          <w:bCs/>
          <w:color w:val="000000"/>
        </w:rPr>
        <w:t xml:space="preserve">Iš viso 1218 </w:t>
      </w:r>
      <w:r>
        <w:rPr>
          <w:color w:val="000000"/>
        </w:rPr>
        <w:t xml:space="preserve">mokinių pasvertos kuprinės, 637 kuprinės (52,30 proc.) </w:t>
      </w:r>
      <w:r w:rsidRPr="00175E1F">
        <w:t>atitiko higienos normų reikalavimus.</w:t>
      </w:r>
    </w:p>
    <w:p w:rsidR="00B711AA" w:rsidRPr="00D13D24" w:rsidRDefault="004F70D8" w:rsidP="00AE2371">
      <w:pPr>
        <w:pStyle w:val="Sraopastraipa"/>
        <w:numPr>
          <w:ilvl w:val="0"/>
          <w:numId w:val="1"/>
        </w:numPr>
        <w:autoSpaceDE w:val="0"/>
        <w:autoSpaceDN w:val="0"/>
        <w:adjustRightInd w:val="0"/>
        <w:spacing w:line="276" w:lineRule="auto"/>
        <w:ind w:left="567" w:hanging="283"/>
        <w:jc w:val="both"/>
        <w:rPr>
          <w:bCs/>
          <w:color w:val="000000"/>
        </w:rPr>
      </w:pPr>
      <w:r>
        <w:t>479 (39,33</w:t>
      </w:r>
      <w:r w:rsidRPr="004F70D8">
        <w:t xml:space="preserve"> proc.) mokiniai</w:t>
      </w:r>
      <w:r>
        <w:t xml:space="preserve"> nešiojo sunkias kuprines ir 103 (8,46</w:t>
      </w:r>
      <w:r w:rsidRPr="004F70D8">
        <w:t xml:space="preserve"> proc.) mokiniai nešiojo per sunkias kuprines.</w:t>
      </w:r>
    </w:p>
    <w:p w:rsidR="00D13D24" w:rsidRPr="00DF0B88" w:rsidRDefault="00D13D24" w:rsidP="00AE2371">
      <w:pPr>
        <w:pStyle w:val="Sraopastraipa"/>
        <w:numPr>
          <w:ilvl w:val="0"/>
          <w:numId w:val="1"/>
        </w:numPr>
        <w:autoSpaceDE w:val="0"/>
        <w:autoSpaceDN w:val="0"/>
        <w:adjustRightInd w:val="0"/>
        <w:spacing w:line="276" w:lineRule="auto"/>
        <w:ind w:left="567" w:hanging="283"/>
        <w:jc w:val="both"/>
        <w:rPr>
          <w:bCs/>
          <w:color w:val="000000"/>
        </w:rPr>
      </w:pPr>
      <w:r w:rsidRPr="00175E1F">
        <w:t>Sunkiausias kuprines nešioja antrokai</w:t>
      </w:r>
      <w:r>
        <w:t xml:space="preserve"> ir penktokai. Šių mokinių tarpe mažiausiai nešiojančių normalaus svorio kuprines ir daugiausiai nešiojančių sunkias ir sveriančias daugiau nei </w:t>
      </w:r>
      <w:r w:rsidRPr="00175E1F">
        <w:t>15 proc.</w:t>
      </w:r>
      <w:r>
        <w:t xml:space="preserve"> jų kūno masės.</w:t>
      </w:r>
    </w:p>
    <w:p w:rsidR="00DF0B88" w:rsidRPr="00DF0B88" w:rsidRDefault="00DF0B88" w:rsidP="00DF0B88">
      <w:pPr>
        <w:pStyle w:val="Sraopastraipa"/>
        <w:autoSpaceDE w:val="0"/>
        <w:autoSpaceDN w:val="0"/>
        <w:adjustRightInd w:val="0"/>
        <w:spacing w:line="276" w:lineRule="auto"/>
        <w:ind w:left="0"/>
        <w:jc w:val="center"/>
        <w:rPr>
          <w:b/>
          <w:bCs/>
        </w:rPr>
      </w:pPr>
      <w:r w:rsidRPr="00DF0B88">
        <w:rPr>
          <w:b/>
          <w:bCs/>
        </w:rPr>
        <w:t>REKOMENDACIJOS</w:t>
      </w:r>
    </w:p>
    <w:p w:rsidR="00DF0B88" w:rsidRPr="00DF0B88" w:rsidRDefault="00DF0B88" w:rsidP="00DF0B88">
      <w:pPr>
        <w:pStyle w:val="Sraopastraipa"/>
        <w:autoSpaceDE w:val="0"/>
        <w:autoSpaceDN w:val="0"/>
        <w:adjustRightInd w:val="0"/>
        <w:spacing w:line="276" w:lineRule="auto"/>
        <w:rPr>
          <w:b/>
          <w:bCs/>
        </w:rPr>
      </w:pPr>
    </w:p>
    <w:p w:rsidR="00DF0B88" w:rsidRPr="00175E1F" w:rsidRDefault="00DF0B88" w:rsidP="00AE2371">
      <w:pPr>
        <w:tabs>
          <w:tab w:val="left" w:pos="567"/>
        </w:tabs>
        <w:autoSpaceDE w:val="0"/>
        <w:autoSpaceDN w:val="0"/>
        <w:adjustRightInd w:val="0"/>
        <w:spacing w:line="276" w:lineRule="auto"/>
        <w:ind w:left="567" w:hanging="283"/>
        <w:jc w:val="both"/>
      </w:pPr>
      <w:r w:rsidRPr="004859E5">
        <w:t xml:space="preserve">1. </w:t>
      </w:r>
      <w:r w:rsidRPr="00175E1F">
        <w:t>Tuščios kuprinės svoris turi būti ne didesnis kaip 700 gramų pradinių klasių moksleiviams ir</w:t>
      </w:r>
      <w:r>
        <w:t xml:space="preserve"> ne didesnis kaip 1000 gramų</w:t>
      </w:r>
      <w:r w:rsidRPr="00175E1F">
        <w:t xml:space="preserve"> – vyresnių klasių moksleiviams.</w:t>
      </w:r>
    </w:p>
    <w:p w:rsidR="00DF0B88" w:rsidRPr="00175E1F" w:rsidRDefault="00DF0B88" w:rsidP="00AE2371">
      <w:pPr>
        <w:pStyle w:val="Sraopastraipa"/>
        <w:tabs>
          <w:tab w:val="left" w:pos="567"/>
        </w:tabs>
        <w:autoSpaceDE w:val="0"/>
        <w:autoSpaceDN w:val="0"/>
        <w:adjustRightInd w:val="0"/>
        <w:spacing w:line="276" w:lineRule="auto"/>
        <w:ind w:left="567" w:hanging="283"/>
        <w:jc w:val="both"/>
      </w:pPr>
      <w:r>
        <w:t xml:space="preserve">2. </w:t>
      </w:r>
      <w:r w:rsidRPr="00175E1F">
        <w:t>Kuprinės svoris turi sudaryti ne daugiau kaip 10 proc. mokinio kūno masės.</w:t>
      </w:r>
    </w:p>
    <w:p w:rsidR="00DF0B88" w:rsidRPr="00175E1F" w:rsidRDefault="00DF0B88" w:rsidP="00AE2371">
      <w:pPr>
        <w:pStyle w:val="Sraopastraipa"/>
        <w:tabs>
          <w:tab w:val="left" w:pos="567"/>
        </w:tabs>
        <w:autoSpaceDE w:val="0"/>
        <w:autoSpaceDN w:val="0"/>
        <w:adjustRightInd w:val="0"/>
        <w:spacing w:line="276" w:lineRule="auto"/>
        <w:ind w:left="567" w:hanging="283"/>
        <w:jc w:val="both"/>
      </w:pPr>
      <w:r>
        <w:t xml:space="preserve">3. </w:t>
      </w:r>
      <w:r w:rsidRPr="00175E1F">
        <w:t>Kuprinėje turi būti tik tą dieną reikalingi daiktai. Mokytojai turėtų aiškiai pasakyti, ką reikia</w:t>
      </w:r>
      <w:r>
        <w:t xml:space="preserve"> </w:t>
      </w:r>
      <w:r w:rsidRPr="00175E1F">
        <w:t>atsinešti kitai dienai.</w:t>
      </w:r>
    </w:p>
    <w:p w:rsidR="00DF0B88" w:rsidRPr="00175E1F" w:rsidRDefault="00DF0B88" w:rsidP="00AE2371">
      <w:pPr>
        <w:pStyle w:val="Sraopastraipa"/>
        <w:tabs>
          <w:tab w:val="left" w:pos="567"/>
        </w:tabs>
        <w:autoSpaceDE w:val="0"/>
        <w:autoSpaceDN w:val="0"/>
        <w:adjustRightInd w:val="0"/>
        <w:spacing w:line="276" w:lineRule="auto"/>
        <w:ind w:left="567" w:hanging="283"/>
        <w:jc w:val="both"/>
      </w:pPr>
      <w:r>
        <w:t xml:space="preserve">4. </w:t>
      </w:r>
      <w:r w:rsidRPr="00175E1F">
        <w:t>Nešti kuprinę užsidėjus diržus ant abiejų pečių ir kuprinės apačia neturi būti žemiau</w:t>
      </w:r>
      <w:r>
        <w:t xml:space="preserve"> </w:t>
      </w:r>
      <w:r w:rsidRPr="00175E1F">
        <w:t>moksleivio juosmens.</w:t>
      </w:r>
    </w:p>
    <w:p w:rsidR="00DF0B88" w:rsidRDefault="00DF0B88" w:rsidP="00AE2371">
      <w:pPr>
        <w:pStyle w:val="Sraopastraipa"/>
        <w:tabs>
          <w:tab w:val="left" w:pos="567"/>
        </w:tabs>
        <w:autoSpaceDE w:val="0"/>
        <w:autoSpaceDN w:val="0"/>
        <w:adjustRightInd w:val="0"/>
        <w:spacing w:line="276" w:lineRule="auto"/>
        <w:ind w:left="567" w:hanging="283"/>
        <w:jc w:val="both"/>
      </w:pPr>
      <w:r>
        <w:t xml:space="preserve">5. </w:t>
      </w:r>
      <w:r w:rsidRPr="00175E1F">
        <w:t>Kad kuprinė būtų patogi, praktiška ir kuo mažiau žalotų vaikus, medikai pataria įsitikinti, ar</w:t>
      </w:r>
      <w:r>
        <w:t xml:space="preserve"> </w:t>
      </w:r>
      <w:r w:rsidRPr="00175E1F">
        <w:t>kuprinėje ties stuburo linkiu yra minkšta pagalvėlė.</w:t>
      </w:r>
    </w:p>
    <w:p w:rsidR="00DF0B88" w:rsidRDefault="00DF0B88" w:rsidP="00AE2371">
      <w:pPr>
        <w:pStyle w:val="Sraopastraipa"/>
        <w:tabs>
          <w:tab w:val="left" w:pos="567"/>
          <w:tab w:val="left" w:pos="1920"/>
        </w:tabs>
        <w:spacing w:line="276" w:lineRule="auto"/>
        <w:ind w:left="567" w:hanging="283"/>
        <w:jc w:val="both"/>
      </w:pPr>
      <w:r>
        <w:t>6. Tėvai ypatingą dėmesį turėtų skirti vaikų taisyklingos laikysenos profilaktikai. Prižiūrėti vaikus namuose kad pamokų ruošos metu vaikas darytų pertraukas, sėdėtų tiesiai, tvirtai remiantis abiems kojomis į žemę. Pasirūpinti, kad ruošiant pamokas būtų geras apšvietimas ir prie vaiko ūgio pritaikyti baldai.</w:t>
      </w:r>
    </w:p>
    <w:p w:rsidR="00DF0B88" w:rsidRDefault="00DF0B88" w:rsidP="00AE2371">
      <w:pPr>
        <w:pStyle w:val="Sraopastraipa"/>
        <w:tabs>
          <w:tab w:val="left" w:pos="567"/>
        </w:tabs>
        <w:autoSpaceDE w:val="0"/>
        <w:autoSpaceDN w:val="0"/>
        <w:adjustRightInd w:val="0"/>
        <w:spacing w:line="276" w:lineRule="auto"/>
        <w:ind w:left="567" w:hanging="283"/>
        <w:jc w:val="both"/>
      </w:pPr>
      <w:r>
        <w:t xml:space="preserve">7. Skatinti vaiką judėti ar lankyti sporto užsiėmimus, dalį kūno kultūros pamokų vesti treniruoklių salėse, taip didės susidomėjimas kūno kultūros pamokomis. Taip pat </w:t>
      </w:r>
      <w:r w:rsidRPr="00510CF7">
        <w:t>kūno kultūros pamokų metu d</w:t>
      </w:r>
      <w:r w:rsidR="00D55684">
        <w:t>augiau dėmesio skirti plokščiapė</w:t>
      </w:r>
      <w:r w:rsidRPr="00510CF7">
        <w:t>dystės profilaktikai</w:t>
      </w:r>
      <w:r>
        <w:t>.</w:t>
      </w:r>
    </w:p>
    <w:p w:rsidR="00AC61F4" w:rsidRDefault="00AC61F4" w:rsidP="00AE2371">
      <w:pPr>
        <w:pStyle w:val="Sraopastraipa"/>
        <w:tabs>
          <w:tab w:val="left" w:pos="567"/>
        </w:tabs>
        <w:autoSpaceDE w:val="0"/>
        <w:autoSpaceDN w:val="0"/>
        <w:adjustRightInd w:val="0"/>
        <w:spacing w:line="276" w:lineRule="auto"/>
        <w:ind w:left="567" w:hanging="283"/>
        <w:jc w:val="both"/>
      </w:pPr>
    </w:p>
    <w:p w:rsidR="00AC61F4" w:rsidRDefault="00AC61F4" w:rsidP="00AE2371">
      <w:pPr>
        <w:pStyle w:val="Sraopastraipa"/>
        <w:tabs>
          <w:tab w:val="left" w:pos="567"/>
        </w:tabs>
        <w:autoSpaceDE w:val="0"/>
        <w:autoSpaceDN w:val="0"/>
        <w:adjustRightInd w:val="0"/>
        <w:spacing w:line="276" w:lineRule="auto"/>
        <w:ind w:left="567" w:hanging="283"/>
        <w:jc w:val="both"/>
      </w:pPr>
    </w:p>
    <w:p w:rsidR="00AC61F4" w:rsidRDefault="00AC61F4" w:rsidP="00AE2371">
      <w:pPr>
        <w:pStyle w:val="Sraopastraipa"/>
        <w:tabs>
          <w:tab w:val="left" w:pos="567"/>
        </w:tabs>
        <w:autoSpaceDE w:val="0"/>
        <w:autoSpaceDN w:val="0"/>
        <w:adjustRightInd w:val="0"/>
        <w:spacing w:line="276" w:lineRule="auto"/>
        <w:ind w:left="567" w:hanging="283"/>
        <w:jc w:val="both"/>
      </w:pPr>
    </w:p>
    <w:p w:rsidR="00AC61F4" w:rsidRDefault="00AC61F4" w:rsidP="00AE2371">
      <w:pPr>
        <w:pStyle w:val="Sraopastraipa"/>
        <w:tabs>
          <w:tab w:val="left" w:pos="567"/>
        </w:tabs>
        <w:autoSpaceDE w:val="0"/>
        <w:autoSpaceDN w:val="0"/>
        <w:adjustRightInd w:val="0"/>
        <w:spacing w:line="276" w:lineRule="auto"/>
        <w:ind w:left="567" w:hanging="283"/>
        <w:jc w:val="both"/>
      </w:pPr>
    </w:p>
    <w:p w:rsidR="00AC61F4" w:rsidRDefault="00AC61F4" w:rsidP="00AE2371">
      <w:pPr>
        <w:pStyle w:val="Sraopastraipa"/>
        <w:tabs>
          <w:tab w:val="left" w:pos="567"/>
        </w:tabs>
        <w:autoSpaceDE w:val="0"/>
        <w:autoSpaceDN w:val="0"/>
        <w:adjustRightInd w:val="0"/>
        <w:spacing w:line="276" w:lineRule="auto"/>
        <w:ind w:left="567" w:hanging="283"/>
        <w:jc w:val="both"/>
      </w:pPr>
    </w:p>
    <w:p w:rsidR="00AC61F4" w:rsidRDefault="00AC61F4" w:rsidP="00AE2371">
      <w:pPr>
        <w:pStyle w:val="Sraopastraipa"/>
        <w:tabs>
          <w:tab w:val="left" w:pos="567"/>
        </w:tabs>
        <w:autoSpaceDE w:val="0"/>
        <w:autoSpaceDN w:val="0"/>
        <w:adjustRightInd w:val="0"/>
        <w:spacing w:line="276" w:lineRule="auto"/>
        <w:ind w:left="567" w:hanging="283"/>
        <w:jc w:val="both"/>
      </w:pPr>
    </w:p>
    <w:p w:rsidR="00AC61F4" w:rsidRDefault="00AC61F4" w:rsidP="00AC61F4">
      <w:pPr>
        <w:autoSpaceDE w:val="0"/>
        <w:autoSpaceDN w:val="0"/>
        <w:adjustRightInd w:val="0"/>
        <w:spacing w:line="276" w:lineRule="auto"/>
        <w:rPr>
          <w:b/>
          <w:bCs/>
          <w:lang w:val="lt" w:eastAsia="lt-LT"/>
        </w:rPr>
      </w:pPr>
      <w:r>
        <w:rPr>
          <w:b/>
          <w:bCs/>
          <w:lang w:val="lt" w:eastAsia="lt-LT"/>
        </w:rPr>
        <w:t>Parengė:</w:t>
      </w:r>
    </w:p>
    <w:p w:rsidR="00AC61F4" w:rsidRDefault="00AC61F4" w:rsidP="00AC61F4">
      <w:pPr>
        <w:autoSpaceDE w:val="0"/>
        <w:autoSpaceDN w:val="0"/>
        <w:adjustRightInd w:val="0"/>
        <w:spacing w:line="276" w:lineRule="auto"/>
        <w:rPr>
          <w:lang w:val="lt" w:eastAsia="lt-LT"/>
        </w:rPr>
      </w:pPr>
      <w:r>
        <w:rPr>
          <w:lang w:val="lt" w:eastAsia="lt-LT"/>
        </w:rPr>
        <w:t xml:space="preserve">Ernesta </w:t>
      </w:r>
      <w:proofErr w:type="spellStart"/>
      <w:r>
        <w:rPr>
          <w:lang w:val="lt" w:eastAsia="lt-LT"/>
        </w:rPr>
        <w:t>B</w:t>
      </w:r>
      <w:r w:rsidR="00F03DC5">
        <w:rPr>
          <w:lang w:val="lt" w:eastAsia="lt-LT"/>
        </w:rPr>
        <w:t>a</w:t>
      </w:r>
      <w:r>
        <w:rPr>
          <w:lang w:val="lt" w:eastAsia="lt-LT"/>
        </w:rPr>
        <w:t>rtaševičiūtė</w:t>
      </w:r>
      <w:proofErr w:type="spellEnd"/>
    </w:p>
    <w:p w:rsidR="00AC61F4" w:rsidRDefault="00AC61F4" w:rsidP="00AC61F4">
      <w:pPr>
        <w:autoSpaceDE w:val="0"/>
        <w:autoSpaceDN w:val="0"/>
        <w:adjustRightInd w:val="0"/>
        <w:spacing w:line="276" w:lineRule="auto"/>
        <w:rPr>
          <w:lang w:val="lt" w:eastAsia="lt-LT"/>
        </w:rPr>
      </w:pPr>
      <w:r>
        <w:rPr>
          <w:lang w:val="lt" w:eastAsia="lt-LT"/>
        </w:rPr>
        <w:t>Alytaus miesto savivaldybės visuomenės sveikatos biuro</w:t>
      </w:r>
    </w:p>
    <w:p w:rsidR="00AC61F4" w:rsidRDefault="00AC61F4" w:rsidP="00AC61F4">
      <w:pPr>
        <w:autoSpaceDE w:val="0"/>
        <w:autoSpaceDN w:val="0"/>
        <w:adjustRightInd w:val="0"/>
        <w:spacing w:line="276" w:lineRule="auto"/>
        <w:rPr>
          <w:lang w:val="lt" w:eastAsia="lt-LT"/>
        </w:rPr>
      </w:pPr>
      <w:r>
        <w:rPr>
          <w:lang w:val="lt" w:eastAsia="lt-LT"/>
        </w:rPr>
        <w:t xml:space="preserve">visuomenės sveikatos </w:t>
      </w:r>
      <w:proofErr w:type="spellStart"/>
      <w:r>
        <w:rPr>
          <w:lang w:val="lt" w:eastAsia="lt-LT"/>
        </w:rPr>
        <w:t>stebėsenos</w:t>
      </w:r>
      <w:proofErr w:type="spellEnd"/>
      <w:r>
        <w:rPr>
          <w:lang w:val="lt" w:eastAsia="lt-LT"/>
        </w:rPr>
        <w:t xml:space="preserve"> ir stiprinimo specialistė</w:t>
      </w:r>
    </w:p>
    <w:p w:rsidR="00AC61F4" w:rsidRDefault="00AC61F4" w:rsidP="00AC61F4">
      <w:pPr>
        <w:autoSpaceDE w:val="0"/>
        <w:autoSpaceDN w:val="0"/>
        <w:adjustRightInd w:val="0"/>
        <w:spacing w:after="200" w:line="276" w:lineRule="auto"/>
        <w:jc w:val="both"/>
        <w:rPr>
          <w:color w:val="0000FF"/>
          <w:u w:val="single"/>
          <w:lang w:val="lt" w:eastAsia="lt-LT"/>
        </w:rPr>
      </w:pPr>
      <w:r>
        <w:rPr>
          <w:lang w:val="lt" w:eastAsia="lt-LT"/>
        </w:rPr>
        <w:t xml:space="preserve">El. paštas </w:t>
      </w:r>
      <w:hyperlink r:id="rId9" w:history="1">
        <w:r w:rsidRPr="00BD7ACF">
          <w:rPr>
            <w:rStyle w:val="Hipersaitas"/>
            <w:lang w:val="lt" w:eastAsia="lt-LT"/>
          </w:rPr>
          <w:t>ernesta@alytausvsb.lt</w:t>
        </w:r>
      </w:hyperlink>
    </w:p>
    <w:p w:rsidR="00AC61F4" w:rsidRPr="00AC61F4" w:rsidRDefault="00AC61F4" w:rsidP="00AE2371">
      <w:pPr>
        <w:pStyle w:val="Sraopastraipa"/>
        <w:tabs>
          <w:tab w:val="left" w:pos="567"/>
        </w:tabs>
        <w:autoSpaceDE w:val="0"/>
        <w:autoSpaceDN w:val="0"/>
        <w:adjustRightInd w:val="0"/>
        <w:spacing w:line="276" w:lineRule="auto"/>
        <w:ind w:left="567" w:hanging="283"/>
        <w:jc w:val="both"/>
        <w:rPr>
          <w:bCs/>
          <w:color w:val="000000"/>
          <w:lang w:val="lt"/>
        </w:rPr>
      </w:pPr>
    </w:p>
    <w:sectPr w:rsidR="00AC61F4" w:rsidRPr="00AC61F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138E2"/>
    <w:multiLevelType w:val="hybridMultilevel"/>
    <w:tmpl w:val="E22C3FF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8F7"/>
    <w:rsid w:val="001342B0"/>
    <w:rsid w:val="00182FCB"/>
    <w:rsid w:val="002850FD"/>
    <w:rsid w:val="003D3ED6"/>
    <w:rsid w:val="004119D7"/>
    <w:rsid w:val="004F70D8"/>
    <w:rsid w:val="00847776"/>
    <w:rsid w:val="008E11F4"/>
    <w:rsid w:val="00952645"/>
    <w:rsid w:val="00A95D05"/>
    <w:rsid w:val="00AC61F4"/>
    <w:rsid w:val="00AE2371"/>
    <w:rsid w:val="00B04EF2"/>
    <w:rsid w:val="00B711AA"/>
    <w:rsid w:val="00BD79C4"/>
    <w:rsid w:val="00C8611E"/>
    <w:rsid w:val="00CF2A4F"/>
    <w:rsid w:val="00D13D24"/>
    <w:rsid w:val="00D55684"/>
    <w:rsid w:val="00DF0B88"/>
    <w:rsid w:val="00F03DC5"/>
    <w:rsid w:val="00F060F1"/>
    <w:rsid w:val="00F658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658F7"/>
    <w:pPr>
      <w:spacing w:after="0" w:line="240" w:lineRule="auto"/>
    </w:pPr>
    <w:rPr>
      <w:rFonts w:ascii="Times New Roman" w:eastAsia="MS Mincho" w:hAnsi="Times New Roman" w:cs="Times New Roman"/>
      <w:sz w:val="24"/>
      <w:szCs w:val="24"/>
      <w:lang w:eastAsia="ja-JP"/>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F658F7"/>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styleId="Betarp">
    <w:name w:val="No Spacing"/>
    <w:uiPriority w:val="1"/>
    <w:qFormat/>
    <w:rsid w:val="00F658F7"/>
    <w:pPr>
      <w:spacing w:after="0" w:line="240" w:lineRule="auto"/>
    </w:pPr>
    <w:rPr>
      <w:rFonts w:ascii="Calibri" w:eastAsia="Times New Roman" w:hAnsi="Calibri" w:cs="Times New Roman"/>
      <w:lang w:eastAsia="lt-LT"/>
    </w:rPr>
  </w:style>
  <w:style w:type="paragraph" w:styleId="Debesliotekstas">
    <w:name w:val="Balloon Text"/>
    <w:basedOn w:val="prastasis"/>
    <w:link w:val="DebesliotekstasDiagrama"/>
    <w:uiPriority w:val="99"/>
    <w:semiHidden/>
    <w:unhideWhenUsed/>
    <w:rsid w:val="002850F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850FD"/>
    <w:rPr>
      <w:rFonts w:ascii="Tahoma" w:eastAsia="MS Mincho" w:hAnsi="Tahoma" w:cs="Tahoma"/>
      <w:sz w:val="16"/>
      <w:szCs w:val="16"/>
      <w:lang w:eastAsia="ja-JP"/>
    </w:rPr>
  </w:style>
  <w:style w:type="paragraph" w:styleId="Sraopastraipa">
    <w:name w:val="List Paragraph"/>
    <w:basedOn w:val="prastasis"/>
    <w:uiPriority w:val="34"/>
    <w:qFormat/>
    <w:rsid w:val="004F70D8"/>
    <w:pPr>
      <w:ind w:left="720"/>
      <w:contextualSpacing/>
    </w:pPr>
  </w:style>
  <w:style w:type="character" w:styleId="Hipersaitas">
    <w:name w:val="Hyperlink"/>
    <w:basedOn w:val="Numatytasispastraiposriftas"/>
    <w:uiPriority w:val="99"/>
    <w:unhideWhenUsed/>
    <w:rsid w:val="00AC61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658F7"/>
    <w:pPr>
      <w:spacing w:after="0" w:line="240" w:lineRule="auto"/>
    </w:pPr>
    <w:rPr>
      <w:rFonts w:ascii="Times New Roman" w:eastAsia="MS Mincho" w:hAnsi="Times New Roman" w:cs="Times New Roman"/>
      <w:sz w:val="24"/>
      <w:szCs w:val="24"/>
      <w:lang w:eastAsia="ja-JP"/>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F658F7"/>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styleId="Betarp">
    <w:name w:val="No Spacing"/>
    <w:uiPriority w:val="1"/>
    <w:qFormat/>
    <w:rsid w:val="00F658F7"/>
    <w:pPr>
      <w:spacing w:after="0" w:line="240" w:lineRule="auto"/>
    </w:pPr>
    <w:rPr>
      <w:rFonts w:ascii="Calibri" w:eastAsia="Times New Roman" w:hAnsi="Calibri" w:cs="Times New Roman"/>
      <w:lang w:eastAsia="lt-LT"/>
    </w:rPr>
  </w:style>
  <w:style w:type="paragraph" w:styleId="Debesliotekstas">
    <w:name w:val="Balloon Text"/>
    <w:basedOn w:val="prastasis"/>
    <w:link w:val="DebesliotekstasDiagrama"/>
    <w:uiPriority w:val="99"/>
    <w:semiHidden/>
    <w:unhideWhenUsed/>
    <w:rsid w:val="002850F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850FD"/>
    <w:rPr>
      <w:rFonts w:ascii="Tahoma" w:eastAsia="MS Mincho" w:hAnsi="Tahoma" w:cs="Tahoma"/>
      <w:sz w:val="16"/>
      <w:szCs w:val="16"/>
      <w:lang w:eastAsia="ja-JP"/>
    </w:rPr>
  </w:style>
  <w:style w:type="paragraph" w:styleId="Sraopastraipa">
    <w:name w:val="List Paragraph"/>
    <w:basedOn w:val="prastasis"/>
    <w:uiPriority w:val="34"/>
    <w:qFormat/>
    <w:rsid w:val="004F70D8"/>
    <w:pPr>
      <w:ind w:left="720"/>
      <w:contextualSpacing/>
    </w:pPr>
  </w:style>
  <w:style w:type="character" w:styleId="Hipersaitas">
    <w:name w:val="Hyperlink"/>
    <w:basedOn w:val="Numatytasispastraiposriftas"/>
    <w:uiPriority w:val="99"/>
    <w:unhideWhenUsed/>
    <w:rsid w:val="00AC61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ernesta@alytausvsb.l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Vartotojas\Desktop\2015%20m.%20kuprin&#279;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Vartotojas\Desktop\2015%20m.%20kuprin&#279;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8.4592455354845345E-2"/>
          <c:y val="4.9703072462458815E-2"/>
          <c:w val="0.70533003962739949"/>
          <c:h val="0.86042958857855911"/>
        </c:manualLayout>
      </c:layout>
      <c:bar3DChart>
        <c:barDir val="col"/>
        <c:grouping val="clustered"/>
        <c:varyColors val="0"/>
        <c:ser>
          <c:idx val="0"/>
          <c:order val="0"/>
          <c:tx>
            <c:strRef>
              <c:f>Lapas2!$B$2</c:f>
              <c:strCache>
                <c:ptCount val="1"/>
                <c:pt idx="0">
                  <c:v>&lt;10 proc.</c:v>
                </c:pt>
              </c:strCache>
            </c:strRef>
          </c:tx>
          <c:invertIfNegative val="0"/>
          <c:dLbls>
            <c:dLbl>
              <c:idx val="1"/>
              <c:layout>
                <c:manualLayout>
                  <c:x val="1.045751633986928E-2"/>
                  <c:y val="4.4814390292791583E-3"/>
                </c:manualLayout>
              </c:layout>
              <c:showLegendKey val="0"/>
              <c:showVal val="1"/>
              <c:showCatName val="0"/>
              <c:showSerName val="0"/>
              <c:showPercent val="0"/>
              <c:showBubbleSize val="0"/>
            </c:dLbl>
            <c:dLbl>
              <c:idx val="3"/>
              <c:layout>
                <c:manualLayout>
                  <c:x val="7.8431372549019607E-3"/>
                  <c:y val="4.1082618067668286E-17"/>
                </c:manualLayout>
              </c:layout>
              <c:showLegendKey val="0"/>
              <c:showVal val="1"/>
              <c:showCatName val="0"/>
              <c:showSerName val="0"/>
              <c:showPercent val="0"/>
              <c:showBubbleSize val="0"/>
            </c:dLbl>
            <c:dLbl>
              <c:idx val="4"/>
              <c:layout>
                <c:manualLayout>
                  <c:x val="7.8431372549019607E-3"/>
                  <c:y val="8.9635838525624553E-3"/>
                </c:manualLayout>
              </c:layout>
              <c:showLegendKey val="0"/>
              <c:showVal val="1"/>
              <c:showCatName val="0"/>
              <c:showSerName val="0"/>
              <c:showPercent val="0"/>
              <c:showBubbleSize val="0"/>
            </c:dLbl>
            <c:txPr>
              <a:bodyPr/>
              <a:lstStyle/>
              <a:p>
                <a:pPr>
                  <a:defRPr sz="1000" b="1">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0"/>
          </c:dLbls>
          <c:cat>
            <c:strRef>
              <c:f>Lapas2!$A$3:$A$7</c:f>
              <c:strCache>
                <c:ptCount val="5"/>
                <c:pt idx="0">
                  <c:v>2 klasė</c:v>
                </c:pt>
                <c:pt idx="1">
                  <c:v>3 klasė</c:v>
                </c:pt>
                <c:pt idx="2">
                  <c:v>4 klasė</c:v>
                </c:pt>
                <c:pt idx="3">
                  <c:v>5 klasė</c:v>
                </c:pt>
                <c:pt idx="4">
                  <c:v>6 klasė</c:v>
                </c:pt>
              </c:strCache>
            </c:strRef>
          </c:cat>
          <c:val>
            <c:numRef>
              <c:f>Lapas2!$B$3:$B$7</c:f>
              <c:numCache>
                <c:formatCode>General</c:formatCode>
                <c:ptCount val="5"/>
                <c:pt idx="0">
                  <c:v>45</c:v>
                </c:pt>
                <c:pt idx="1">
                  <c:v>166</c:v>
                </c:pt>
                <c:pt idx="2">
                  <c:v>119</c:v>
                </c:pt>
                <c:pt idx="3">
                  <c:v>125</c:v>
                </c:pt>
                <c:pt idx="4">
                  <c:v>182</c:v>
                </c:pt>
              </c:numCache>
            </c:numRef>
          </c:val>
        </c:ser>
        <c:ser>
          <c:idx val="1"/>
          <c:order val="1"/>
          <c:tx>
            <c:strRef>
              <c:f>Lapas2!$C$2</c:f>
              <c:strCache>
                <c:ptCount val="1"/>
                <c:pt idx="0">
                  <c:v>10-15 proc.</c:v>
                </c:pt>
              </c:strCache>
            </c:strRef>
          </c:tx>
          <c:invertIfNegative val="0"/>
          <c:dLbls>
            <c:dLbl>
              <c:idx val="0"/>
              <c:layout>
                <c:manualLayout>
                  <c:x val="0"/>
                  <c:y val="1.3445375778843683E-2"/>
                </c:manualLayout>
              </c:layout>
              <c:showLegendKey val="0"/>
              <c:showVal val="1"/>
              <c:showCatName val="0"/>
              <c:showSerName val="0"/>
              <c:showPercent val="0"/>
              <c:showBubbleSize val="0"/>
            </c:dLbl>
            <c:dLbl>
              <c:idx val="1"/>
              <c:layout>
                <c:manualLayout>
                  <c:x val="2.3529411764705882E-2"/>
                  <c:y val="1.3445375778843683E-2"/>
                </c:manualLayout>
              </c:layout>
              <c:showLegendKey val="0"/>
              <c:showVal val="1"/>
              <c:showCatName val="0"/>
              <c:showSerName val="0"/>
              <c:showPercent val="0"/>
              <c:showBubbleSize val="0"/>
            </c:dLbl>
            <c:dLbl>
              <c:idx val="2"/>
              <c:layout>
                <c:manualLayout>
                  <c:x val="1.5686274509803921E-2"/>
                  <c:y val="4.4817919262812277E-3"/>
                </c:manualLayout>
              </c:layout>
              <c:showLegendKey val="0"/>
              <c:showVal val="1"/>
              <c:showCatName val="0"/>
              <c:showSerName val="0"/>
              <c:showPercent val="0"/>
              <c:showBubbleSize val="0"/>
            </c:dLbl>
            <c:dLbl>
              <c:idx val="3"/>
              <c:layout>
                <c:manualLayout>
                  <c:x val="1.8300653594771243E-2"/>
                  <c:y val="8.9635838525624553E-3"/>
                </c:manualLayout>
              </c:layout>
              <c:showLegendKey val="0"/>
              <c:showVal val="1"/>
              <c:showCatName val="0"/>
              <c:showSerName val="0"/>
              <c:showPercent val="0"/>
              <c:showBubbleSize val="0"/>
            </c:dLbl>
            <c:dLbl>
              <c:idx val="4"/>
              <c:layout>
                <c:manualLayout>
                  <c:x val="1.045751633986928E-2"/>
                  <c:y val="1.3445375778843683E-2"/>
                </c:manualLayout>
              </c:layout>
              <c:showLegendKey val="0"/>
              <c:showVal val="1"/>
              <c:showCatName val="0"/>
              <c:showSerName val="0"/>
              <c:showPercent val="0"/>
              <c:showBubbleSize val="0"/>
            </c:dLbl>
            <c:txPr>
              <a:bodyPr/>
              <a:lstStyle/>
              <a:p>
                <a:pPr>
                  <a:defRPr b="1">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0"/>
          </c:dLbls>
          <c:cat>
            <c:strRef>
              <c:f>Lapas2!$A$3:$A$7</c:f>
              <c:strCache>
                <c:ptCount val="5"/>
                <c:pt idx="0">
                  <c:v>2 klasė</c:v>
                </c:pt>
                <c:pt idx="1">
                  <c:v>3 klasė</c:v>
                </c:pt>
                <c:pt idx="2">
                  <c:v>4 klasė</c:v>
                </c:pt>
                <c:pt idx="3">
                  <c:v>5 klasė</c:v>
                </c:pt>
                <c:pt idx="4">
                  <c:v>6 klasė</c:v>
                </c:pt>
              </c:strCache>
            </c:strRef>
          </c:cat>
          <c:val>
            <c:numRef>
              <c:f>Lapas2!$C$3:$C$7</c:f>
              <c:numCache>
                <c:formatCode>General</c:formatCode>
                <c:ptCount val="5"/>
                <c:pt idx="0">
                  <c:v>146</c:v>
                </c:pt>
                <c:pt idx="1">
                  <c:v>108</c:v>
                </c:pt>
                <c:pt idx="2">
                  <c:v>69</c:v>
                </c:pt>
                <c:pt idx="3">
                  <c:v>81</c:v>
                </c:pt>
                <c:pt idx="4">
                  <c:v>75</c:v>
                </c:pt>
              </c:numCache>
            </c:numRef>
          </c:val>
        </c:ser>
        <c:ser>
          <c:idx val="2"/>
          <c:order val="2"/>
          <c:tx>
            <c:strRef>
              <c:f>Lapas2!$D$2</c:f>
              <c:strCache>
                <c:ptCount val="1"/>
                <c:pt idx="0">
                  <c:v>&gt; 15 proc.</c:v>
                </c:pt>
              </c:strCache>
            </c:strRef>
          </c:tx>
          <c:invertIfNegative val="0"/>
          <c:dLbls>
            <c:dLbl>
              <c:idx val="0"/>
              <c:layout>
                <c:manualLayout>
                  <c:x val="1.3071895424836602E-2"/>
                  <c:y val="0"/>
                </c:manualLayout>
              </c:layout>
              <c:showLegendKey val="0"/>
              <c:showVal val="1"/>
              <c:showCatName val="0"/>
              <c:showSerName val="0"/>
              <c:showPercent val="0"/>
              <c:showBubbleSize val="0"/>
            </c:dLbl>
            <c:dLbl>
              <c:idx val="1"/>
              <c:layout>
                <c:manualLayout>
                  <c:x val="1.8300653594771243E-2"/>
                  <c:y val="0"/>
                </c:manualLayout>
              </c:layout>
              <c:showLegendKey val="0"/>
              <c:showVal val="1"/>
              <c:showCatName val="0"/>
              <c:showSerName val="0"/>
              <c:showPercent val="0"/>
              <c:showBubbleSize val="0"/>
            </c:dLbl>
            <c:dLbl>
              <c:idx val="2"/>
              <c:layout>
                <c:manualLayout>
                  <c:x val="2.0915032679738561E-2"/>
                  <c:y val="1.7927167705124911E-2"/>
                </c:manualLayout>
              </c:layout>
              <c:showLegendKey val="0"/>
              <c:showVal val="1"/>
              <c:showCatName val="0"/>
              <c:showSerName val="0"/>
              <c:showPercent val="0"/>
              <c:showBubbleSize val="0"/>
            </c:dLbl>
            <c:dLbl>
              <c:idx val="3"/>
              <c:layout>
                <c:manualLayout>
                  <c:x val="1.8300653594771243E-2"/>
                  <c:y val="0"/>
                </c:manualLayout>
              </c:layout>
              <c:showLegendKey val="0"/>
              <c:showVal val="1"/>
              <c:showCatName val="0"/>
              <c:showSerName val="0"/>
              <c:showPercent val="0"/>
              <c:showBubbleSize val="0"/>
            </c:dLbl>
            <c:dLbl>
              <c:idx val="4"/>
              <c:layout>
                <c:manualLayout>
                  <c:x val="1.5686274509803921E-2"/>
                  <c:y val="0"/>
                </c:manualLayout>
              </c:layout>
              <c:showLegendKey val="0"/>
              <c:showVal val="1"/>
              <c:showCatName val="0"/>
              <c:showSerName val="0"/>
              <c:showPercent val="0"/>
              <c:showBubbleSize val="0"/>
            </c:dLbl>
            <c:txPr>
              <a:bodyPr/>
              <a:lstStyle/>
              <a:p>
                <a:pPr>
                  <a:defRPr b="1">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0"/>
          </c:dLbls>
          <c:cat>
            <c:strRef>
              <c:f>Lapas2!$A$3:$A$7</c:f>
              <c:strCache>
                <c:ptCount val="5"/>
                <c:pt idx="0">
                  <c:v>2 klasė</c:v>
                </c:pt>
                <c:pt idx="1">
                  <c:v>3 klasė</c:v>
                </c:pt>
                <c:pt idx="2">
                  <c:v>4 klasė</c:v>
                </c:pt>
                <c:pt idx="3">
                  <c:v>5 klasė</c:v>
                </c:pt>
                <c:pt idx="4">
                  <c:v>6 klasė</c:v>
                </c:pt>
              </c:strCache>
            </c:strRef>
          </c:cat>
          <c:val>
            <c:numRef>
              <c:f>Lapas2!$D$3:$D$7</c:f>
              <c:numCache>
                <c:formatCode>General</c:formatCode>
                <c:ptCount val="5"/>
                <c:pt idx="0">
                  <c:v>41</c:v>
                </c:pt>
                <c:pt idx="1">
                  <c:v>20</c:v>
                </c:pt>
                <c:pt idx="2">
                  <c:v>13</c:v>
                </c:pt>
                <c:pt idx="3">
                  <c:v>21</c:v>
                </c:pt>
                <c:pt idx="4">
                  <c:v>8</c:v>
                </c:pt>
              </c:numCache>
            </c:numRef>
          </c:val>
        </c:ser>
        <c:dLbls>
          <c:showLegendKey val="0"/>
          <c:showVal val="0"/>
          <c:showCatName val="0"/>
          <c:showSerName val="0"/>
          <c:showPercent val="0"/>
          <c:showBubbleSize val="0"/>
        </c:dLbls>
        <c:gapWidth val="150"/>
        <c:shape val="box"/>
        <c:axId val="42181760"/>
        <c:axId val="42183296"/>
        <c:axId val="0"/>
      </c:bar3DChart>
      <c:catAx>
        <c:axId val="42181760"/>
        <c:scaling>
          <c:orientation val="minMax"/>
        </c:scaling>
        <c:delete val="0"/>
        <c:axPos val="b"/>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lt-LT"/>
          </a:p>
        </c:txPr>
        <c:crossAx val="42183296"/>
        <c:crosses val="autoZero"/>
        <c:auto val="1"/>
        <c:lblAlgn val="ctr"/>
        <c:lblOffset val="100"/>
        <c:noMultiLvlLbl val="0"/>
      </c:catAx>
      <c:valAx>
        <c:axId val="42183296"/>
        <c:scaling>
          <c:orientation val="minMax"/>
        </c:scaling>
        <c:delete val="0"/>
        <c:axPos val="l"/>
        <c:majorGridlines/>
        <c:numFmt formatCode="General" sourceLinked="1"/>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lt-LT"/>
          </a:p>
        </c:txPr>
        <c:crossAx val="42181760"/>
        <c:crosses val="autoZero"/>
        <c:crossBetween val="between"/>
      </c:valAx>
    </c:plotArea>
    <c:legend>
      <c:legendPos val="r"/>
      <c:layout>
        <c:manualLayout>
          <c:xMode val="edge"/>
          <c:yMode val="edge"/>
          <c:x val="0.77863517060367449"/>
          <c:y val="0.37860096100911605"/>
          <c:w val="0.20567855488652154"/>
          <c:h val="0.26072524568689281"/>
        </c:manualLayout>
      </c:layout>
      <c:overlay val="0"/>
      <c:txPr>
        <a:bodyPr/>
        <a:lstStyle/>
        <a:p>
          <a:pPr>
            <a:defRPr sz="1100">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Lapas2!$M$2</c:f>
              <c:strCache>
                <c:ptCount val="1"/>
                <c:pt idx="0">
                  <c:v>Turi atšvaitą</c:v>
                </c:pt>
              </c:strCache>
            </c:strRef>
          </c:tx>
          <c:invertIfNegative val="0"/>
          <c:dLbls>
            <c:dLbl>
              <c:idx val="0"/>
              <c:layout>
                <c:manualLayout>
                  <c:x val="1.4367816091953997E-2"/>
                  <c:y val="-9.0242510759820631E-3"/>
                </c:manualLayout>
              </c:layout>
              <c:showLegendKey val="0"/>
              <c:showVal val="1"/>
              <c:showCatName val="0"/>
              <c:showSerName val="0"/>
              <c:showPercent val="0"/>
              <c:showBubbleSize val="0"/>
            </c:dLbl>
            <c:dLbl>
              <c:idx val="1"/>
              <c:layout>
                <c:manualLayout>
                  <c:x val="1.7241379310344827E-2"/>
                  <c:y val="-1.8048502151964126E-2"/>
                </c:manualLayout>
              </c:layout>
              <c:showLegendKey val="0"/>
              <c:showVal val="1"/>
              <c:showCatName val="0"/>
              <c:showSerName val="0"/>
              <c:showPercent val="0"/>
              <c:showBubbleSize val="0"/>
            </c:dLbl>
            <c:dLbl>
              <c:idx val="2"/>
              <c:layout>
                <c:manualLayout>
                  <c:x val="8.6206896551724137E-3"/>
                  <c:y val="0"/>
                </c:manualLayout>
              </c:layout>
              <c:showLegendKey val="0"/>
              <c:showVal val="1"/>
              <c:showCatName val="0"/>
              <c:showSerName val="0"/>
              <c:showPercent val="0"/>
              <c:showBubbleSize val="0"/>
            </c:dLbl>
            <c:dLbl>
              <c:idx val="3"/>
              <c:layout>
                <c:manualLayout>
                  <c:x val="1.7241379310344827E-2"/>
                  <c:y val="-9.0242510759820631E-3"/>
                </c:manualLayout>
              </c:layout>
              <c:showLegendKey val="0"/>
              <c:showVal val="1"/>
              <c:showCatName val="0"/>
              <c:showSerName val="0"/>
              <c:showPercent val="0"/>
              <c:showBubbleSize val="0"/>
            </c:dLbl>
            <c:dLbl>
              <c:idx val="4"/>
              <c:layout>
                <c:manualLayout>
                  <c:x val="1.7241379310344931E-2"/>
                  <c:y val="0"/>
                </c:manualLayout>
              </c:layout>
              <c:showLegendKey val="0"/>
              <c:showVal val="1"/>
              <c:showCatName val="0"/>
              <c:showSerName val="0"/>
              <c:showPercent val="0"/>
              <c:showBubbleSize val="0"/>
            </c:dLbl>
            <c:txPr>
              <a:bodyPr/>
              <a:lstStyle/>
              <a:p>
                <a:pPr>
                  <a:defRPr b="1">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0"/>
          </c:dLbls>
          <c:cat>
            <c:strRef>
              <c:f>Lapas2!$L$3:$L$7</c:f>
              <c:strCache>
                <c:ptCount val="5"/>
                <c:pt idx="0">
                  <c:v>2 klasė</c:v>
                </c:pt>
                <c:pt idx="1">
                  <c:v>3 klasė</c:v>
                </c:pt>
                <c:pt idx="2">
                  <c:v>4 klasė</c:v>
                </c:pt>
                <c:pt idx="3">
                  <c:v>5 klasė</c:v>
                </c:pt>
                <c:pt idx="4">
                  <c:v>6 klasė</c:v>
                </c:pt>
              </c:strCache>
            </c:strRef>
          </c:cat>
          <c:val>
            <c:numRef>
              <c:f>Lapas2!$M$3:$M$7</c:f>
              <c:numCache>
                <c:formatCode>General</c:formatCode>
                <c:ptCount val="5"/>
                <c:pt idx="0">
                  <c:v>204</c:v>
                </c:pt>
                <c:pt idx="1">
                  <c:v>252</c:v>
                </c:pt>
                <c:pt idx="2">
                  <c:v>138</c:v>
                </c:pt>
                <c:pt idx="3">
                  <c:v>129</c:v>
                </c:pt>
                <c:pt idx="4">
                  <c:v>126</c:v>
                </c:pt>
              </c:numCache>
            </c:numRef>
          </c:val>
        </c:ser>
        <c:dLbls>
          <c:showLegendKey val="0"/>
          <c:showVal val="0"/>
          <c:showCatName val="0"/>
          <c:showSerName val="0"/>
          <c:showPercent val="0"/>
          <c:showBubbleSize val="0"/>
        </c:dLbls>
        <c:gapWidth val="150"/>
        <c:shape val="box"/>
        <c:axId val="42204160"/>
        <c:axId val="41550592"/>
        <c:axId val="0"/>
      </c:bar3DChart>
      <c:catAx>
        <c:axId val="42204160"/>
        <c:scaling>
          <c:orientation val="minMax"/>
        </c:scaling>
        <c:delete val="0"/>
        <c:axPos val="b"/>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lt-LT"/>
          </a:p>
        </c:txPr>
        <c:crossAx val="41550592"/>
        <c:crosses val="autoZero"/>
        <c:auto val="1"/>
        <c:lblAlgn val="ctr"/>
        <c:lblOffset val="100"/>
        <c:noMultiLvlLbl val="0"/>
      </c:catAx>
      <c:valAx>
        <c:axId val="41550592"/>
        <c:scaling>
          <c:orientation val="minMax"/>
        </c:scaling>
        <c:delete val="0"/>
        <c:axPos val="l"/>
        <c:majorGridlines/>
        <c:numFmt formatCode="General" sourceLinked="1"/>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lt-LT"/>
          </a:p>
        </c:txPr>
        <c:crossAx val="4220416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AE0E4-8812-42A5-BF1C-E80DB866C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3120</Words>
  <Characters>1779</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23</cp:revision>
  <dcterms:created xsi:type="dcterms:W3CDTF">2015-11-13T06:27:00Z</dcterms:created>
  <dcterms:modified xsi:type="dcterms:W3CDTF">2016-11-04T12:30:00Z</dcterms:modified>
</cp:coreProperties>
</file>